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AA5" w:rsidRDefault="002A4AA5">
      <w:pPr>
        <w:rPr>
          <w:rFonts w:ascii="Verdana" w:hAnsi="Verdana"/>
          <w:b/>
          <w:sz w:val="24"/>
          <w:szCs w:val="24"/>
        </w:rPr>
      </w:pPr>
      <w:bookmarkStart w:id="0" w:name="_GoBack"/>
      <w:bookmarkEnd w:id="0"/>
    </w:p>
    <w:p w:rsidR="002A4AA5" w:rsidRDefault="002A4AA5">
      <w:pPr>
        <w:rPr>
          <w:rFonts w:ascii="Verdana" w:hAnsi="Verdana"/>
          <w:b/>
          <w:sz w:val="24"/>
          <w:szCs w:val="24"/>
        </w:rPr>
      </w:pPr>
    </w:p>
    <w:p w:rsidR="002A4AA5" w:rsidRPr="00396D39" w:rsidRDefault="00985372">
      <w:pPr>
        <w:rPr>
          <w:rFonts w:ascii="Verdana" w:hAnsi="Verdana"/>
          <w:b/>
          <w:sz w:val="24"/>
          <w:szCs w:val="24"/>
        </w:rPr>
      </w:pPr>
      <w:r w:rsidRPr="002A4AA5">
        <w:rPr>
          <w:rFonts w:ascii="Verdana" w:hAnsi="Verdana"/>
          <w:b/>
          <w:sz w:val="24"/>
          <w:szCs w:val="24"/>
        </w:rPr>
        <w:t>Interest Rate Risk on Derivative Instruments: CRR Article 331</w:t>
      </w:r>
    </w:p>
    <w:p w:rsidR="008766FC" w:rsidRPr="002A4AA5" w:rsidRDefault="002A4AA5">
      <w:pPr>
        <w:rPr>
          <w:rFonts w:ascii="Verdana" w:hAnsi="Verdana"/>
          <w:b/>
          <w:sz w:val="20"/>
          <w:szCs w:val="20"/>
        </w:rPr>
      </w:pPr>
      <w:r w:rsidRPr="002A4AA5">
        <w:rPr>
          <w:rFonts w:ascii="Verdana" w:hAnsi="Verdana"/>
          <w:b/>
          <w:sz w:val="20"/>
          <w:szCs w:val="20"/>
        </w:rPr>
        <w:t>Guidance on completion of template:</w:t>
      </w:r>
    </w:p>
    <w:p w:rsidR="00985372" w:rsidRPr="002A4AA5" w:rsidRDefault="008766FC">
      <w:pPr>
        <w:rPr>
          <w:rFonts w:ascii="Verdana" w:hAnsi="Verdana"/>
          <w:sz w:val="20"/>
          <w:szCs w:val="20"/>
        </w:rPr>
      </w:pPr>
      <w:r w:rsidRPr="002A4AA5">
        <w:rPr>
          <w:rFonts w:ascii="Verdana" w:hAnsi="Verdana"/>
          <w:sz w:val="20"/>
          <w:szCs w:val="20"/>
        </w:rPr>
        <w:t>This template must be completed, together with the CRR permission application form, by a firm applying for CRR Article 331 permission.</w:t>
      </w:r>
    </w:p>
    <w:p w:rsidR="008766FC" w:rsidRPr="002A4AA5" w:rsidRDefault="008766FC">
      <w:pPr>
        <w:rPr>
          <w:rFonts w:ascii="Verdana" w:hAnsi="Verdana"/>
          <w:sz w:val="20"/>
          <w:szCs w:val="20"/>
        </w:rPr>
      </w:pPr>
      <w:r w:rsidRPr="002A4AA5">
        <w:rPr>
          <w:rFonts w:ascii="Verdana" w:hAnsi="Verdana"/>
          <w:sz w:val="20"/>
          <w:szCs w:val="20"/>
        </w:rPr>
        <w:t xml:space="preserve">Separate templates must be completed for each </w:t>
      </w:r>
      <w:r w:rsidR="007B4439">
        <w:rPr>
          <w:rFonts w:ascii="Verdana" w:hAnsi="Verdana"/>
          <w:sz w:val="20"/>
          <w:szCs w:val="20"/>
        </w:rPr>
        <w:t xml:space="preserve">firm </w:t>
      </w:r>
      <w:r w:rsidR="00072097">
        <w:rPr>
          <w:rFonts w:ascii="Verdana" w:hAnsi="Verdana"/>
          <w:sz w:val="20"/>
          <w:szCs w:val="20"/>
        </w:rPr>
        <w:t>which is applying to the permission</w:t>
      </w:r>
      <w:r w:rsidRPr="002A4AA5">
        <w:rPr>
          <w:rFonts w:ascii="Verdana" w:hAnsi="Verdana"/>
          <w:sz w:val="20"/>
          <w:szCs w:val="20"/>
        </w:rPr>
        <w:t xml:space="preserve"> or each set of instruments for which a net sensitivity position, weighted by maturity, is computed.</w:t>
      </w:r>
    </w:p>
    <w:p w:rsidR="008766FC" w:rsidRPr="002A4AA5" w:rsidRDefault="008766FC">
      <w:pPr>
        <w:rPr>
          <w:rFonts w:ascii="Verdana" w:hAnsi="Verdana"/>
          <w:sz w:val="20"/>
          <w:szCs w:val="20"/>
        </w:rPr>
      </w:pPr>
    </w:p>
    <w:tbl>
      <w:tblPr>
        <w:tblStyle w:val="TableGrid"/>
        <w:tblW w:w="0" w:type="auto"/>
        <w:tblLook w:val="04A0" w:firstRow="1" w:lastRow="0" w:firstColumn="1" w:lastColumn="0" w:noHBand="0" w:noVBand="1"/>
      </w:tblPr>
      <w:tblGrid>
        <w:gridCol w:w="5637"/>
        <w:gridCol w:w="141"/>
        <w:gridCol w:w="3464"/>
      </w:tblGrid>
      <w:tr w:rsidR="00985372" w:rsidRPr="002A4AA5" w:rsidTr="0048613A">
        <w:tc>
          <w:tcPr>
            <w:tcW w:w="9242" w:type="dxa"/>
            <w:gridSpan w:val="3"/>
          </w:tcPr>
          <w:p w:rsidR="00985372" w:rsidRPr="002A4AA5" w:rsidRDefault="00985372">
            <w:pPr>
              <w:rPr>
                <w:rFonts w:ascii="Verdana" w:hAnsi="Verdana"/>
                <w:b/>
                <w:sz w:val="20"/>
                <w:szCs w:val="20"/>
              </w:rPr>
            </w:pPr>
            <w:r w:rsidRPr="002A4AA5">
              <w:rPr>
                <w:rFonts w:ascii="Verdana" w:hAnsi="Verdana"/>
                <w:b/>
                <w:sz w:val="20"/>
                <w:szCs w:val="20"/>
              </w:rPr>
              <w:t>Application Details</w:t>
            </w:r>
          </w:p>
        </w:tc>
      </w:tr>
      <w:tr w:rsidR="00985372" w:rsidRPr="002A4AA5" w:rsidTr="002A4AA5">
        <w:tc>
          <w:tcPr>
            <w:tcW w:w="5637" w:type="dxa"/>
          </w:tcPr>
          <w:p w:rsidR="00985372" w:rsidRPr="002A4AA5" w:rsidRDefault="00985372">
            <w:pPr>
              <w:rPr>
                <w:rFonts w:ascii="Verdana" w:hAnsi="Verdana"/>
                <w:b/>
                <w:sz w:val="20"/>
                <w:szCs w:val="20"/>
              </w:rPr>
            </w:pPr>
          </w:p>
        </w:tc>
        <w:tc>
          <w:tcPr>
            <w:tcW w:w="3605" w:type="dxa"/>
            <w:gridSpan w:val="2"/>
          </w:tcPr>
          <w:p w:rsidR="00985372" w:rsidRPr="002A4AA5" w:rsidRDefault="002A4AA5">
            <w:pPr>
              <w:rPr>
                <w:rFonts w:ascii="Verdana" w:hAnsi="Verdana"/>
                <w:b/>
                <w:sz w:val="20"/>
                <w:szCs w:val="20"/>
              </w:rPr>
            </w:pPr>
            <w:r w:rsidRPr="002A4AA5">
              <w:rPr>
                <w:rFonts w:ascii="Verdana" w:hAnsi="Verdana"/>
                <w:b/>
                <w:sz w:val="20"/>
                <w:szCs w:val="20"/>
              </w:rPr>
              <w:t>Signature</w:t>
            </w:r>
          </w:p>
        </w:tc>
      </w:tr>
      <w:tr w:rsidR="00985372" w:rsidRPr="002A4AA5" w:rsidTr="002A4AA5">
        <w:tc>
          <w:tcPr>
            <w:tcW w:w="5637" w:type="dxa"/>
          </w:tcPr>
          <w:p w:rsidR="00985372" w:rsidRPr="002A4AA5" w:rsidRDefault="002A4AA5">
            <w:pPr>
              <w:rPr>
                <w:rFonts w:ascii="Verdana" w:hAnsi="Verdana"/>
                <w:sz w:val="20"/>
                <w:szCs w:val="20"/>
              </w:rPr>
            </w:pPr>
            <w:r w:rsidRPr="002A4AA5">
              <w:rPr>
                <w:rFonts w:ascii="Verdana" w:hAnsi="Verdana"/>
                <w:sz w:val="20"/>
                <w:szCs w:val="20"/>
              </w:rPr>
              <w:t>Attestation by a Significant Influence Function (SIF) of compliance with the relevant CRR requirements.</w:t>
            </w:r>
          </w:p>
        </w:tc>
        <w:tc>
          <w:tcPr>
            <w:tcW w:w="3605" w:type="dxa"/>
            <w:gridSpan w:val="2"/>
          </w:tcPr>
          <w:p w:rsidR="00985372" w:rsidRPr="002A4AA5" w:rsidRDefault="00985372">
            <w:pPr>
              <w:rPr>
                <w:rFonts w:ascii="Verdana" w:hAnsi="Verdana"/>
                <w:sz w:val="20"/>
                <w:szCs w:val="20"/>
              </w:rPr>
            </w:pPr>
          </w:p>
        </w:tc>
      </w:tr>
      <w:tr w:rsidR="002A4AA5" w:rsidRPr="002A4AA5" w:rsidTr="00556E75">
        <w:tc>
          <w:tcPr>
            <w:tcW w:w="9242" w:type="dxa"/>
            <w:gridSpan w:val="3"/>
          </w:tcPr>
          <w:p w:rsidR="002A4AA5" w:rsidRPr="002A4AA5" w:rsidRDefault="002A4AA5">
            <w:pPr>
              <w:rPr>
                <w:rFonts w:ascii="Verdana" w:hAnsi="Verdana"/>
                <w:sz w:val="20"/>
                <w:szCs w:val="20"/>
              </w:rPr>
            </w:pPr>
          </w:p>
        </w:tc>
      </w:tr>
      <w:tr w:rsidR="00985372" w:rsidRPr="002A4AA5" w:rsidTr="002A4AA5">
        <w:tc>
          <w:tcPr>
            <w:tcW w:w="5778" w:type="dxa"/>
            <w:gridSpan w:val="2"/>
          </w:tcPr>
          <w:p w:rsidR="00985372" w:rsidRPr="002A4AA5" w:rsidRDefault="002A4AA5">
            <w:pPr>
              <w:rPr>
                <w:rFonts w:ascii="Verdana" w:hAnsi="Verdana"/>
                <w:b/>
                <w:sz w:val="20"/>
                <w:szCs w:val="20"/>
              </w:rPr>
            </w:pPr>
            <w:r w:rsidRPr="002A4AA5">
              <w:rPr>
                <w:rFonts w:ascii="Verdana" w:hAnsi="Verdana"/>
                <w:b/>
                <w:sz w:val="20"/>
                <w:szCs w:val="20"/>
              </w:rPr>
              <w:t>Item</w:t>
            </w:r>
          </w:p>
        </w:tc>
        <w:tc>
          <w:tcPr>
            <w:tcW w:w="3464" w:type="dxa"/>
          </w:tcPr>
          <w:p w:rsidR="00985372" w:rsidRPr="002A4AA5" w:rsidRDefault="002A4AA5">
            <w:pPr>
              <w:rPr>
                <w:rFonts w:ascii="Verdana" w:hAnsi="Verdana"/>
                <w:b/>
                <w:sz w:val="20"/>
                <w:szCs w:val="20"/>
              </w:rPr>
            </w:pPr>
            <w:r w:rsidRPr="002A4AA5">
              <w:rPr>
                <w:rFonts w:ascii="Verdana" w:hAnsi="Verdana"/>
                <w:b/>
                <w:sz w:val="20"/>
                <w:szCs w:val="20"/>
              </w:rPr>
              <w:t>Summary Information</w:t>
            </w:r>
          </w:p>
        </w:tc>
      </w:tr>
      <w:tr w:rsidR="00985372" w:rsidRPr="002A4AA5" w:rsidTr="002A4AA5">
        <w:tc>
          <w:tcPr>
            <w:tcW w:w="5778" w:type="dxa"/>
            <w:gridSpan w:val="2"/>
          </w:tcPr>
          <w:p w:rsidR="00985372" w:rsidRPr="002A4AA5" w:rsidRDefault="00F27D9A">
            <w:pPr>
              <w:rPr>
                <w:rFonts w:ascii="Verdana" w:hAnsi="Verdana"/>
                <w:sz w:val="20"/>
                <w:szCs w:val="20"/>
              </w:rPr>
            </w:pPr>
            <w:r>
              <w:rPr>
                <w:rFonts w:ascii="Verdana" w:hAnsi="Verdana"/>
                <w:sz w:val="20"/>
                <w:szCs w:val="20"/>
              </w:rPr>
              <w:t>D</w:t>
            </w:r>
            <w:r w:rsidR="002A4AA5" w:rsidRPr="002A4AA5">
              <w:rPr>
                <w:rFonts w:ascii="Verdana" w:hAnsi="Verdana"/>
                <w:sz w:val="20"/>
                <w:szCs w:val="20"/>
              </w:rPr>
              <w:t>escription of the current methodology used for interest</w:t>
            </w:r>
            <w:r w:rsidR="007B4439">
              <w:rPr>
                <w:rFonts w:ascii="Verdana" w:hAnsi="Verdana"/>
                <w:sz w:val="20"/>
                <w:szCs w:val="20"/>
              </w:rPr>
              <w:t>-</w:t>
            </w:r>
            <w:r w:rsidR="002A4AA5" w:rsidRPr="002A4AA5">
              <w:rPr>
                <w:rFonts w:ascii="Verdana" w:hAnsi="Verdana"/>
                <w:sz w:val="20"/>
                <w:szCs w:val="20"/>
              </w:rPr>
              <w:t xml:space="preserve"> rate risk on derivative instruments covered in Articles 328 to 330.</w:t>
            </w:r>
          </w:p>
        </w:tc>
        <w:tc>
          <w:tcPr>
            <w:tcW w:w="3464" w:type="dxa"/>
          </w:tcPr>
          <w:p w:rsidR="00985372" w:rsidRPr="002A4AA5" w:rsidRDefault="00985372">
            <w:pPr>
              <w:rPr>
                <w:rFonts w:ascii="Verdana" w:hAnsi="Verdana"/>
                <w:sz w:val="20"/>
                <w:szCs w:val="20"/>
              </w:rPr>
            </w:pPr>
          </w:p>
        </w:tc>
      </w:tr>
      <w:tr w:rsidR="00396D39" w:rsidRPr="002A4AA5" w:rsidTr="002A4AA5">
        <w:tc>
          <w:tcPr>
            <w:tcW w:w="5778" w:type="dxa"/>
            <w:gridSpan w:val="2"/>
          </w:tcPr>
          <w:p w:rsidR="00396D39" w:rsidRPr="002A4AA5" w:rsidRDefault="00396D39">
            <w:pPr>
              <w:rPr>
                <w:rFonts w:ascii="Verdana" w:hAnsi="Verdana"/>
                <w:sz w:val="20"/>
                <w:szCs w:val="20"/>
              </w:rPr>
            </w:pPr>
            <w:r>
              <w:rPr>
                <w:rFonts w:ascii="Verdana" w:hAnsi="Verdana"/>
                <w:sz w:val="20"/>
                <w:szCs w:val="20"/>
              </w:rPr>
              <w:t>Description of the sensitivity models used to calculate interest</w:t>
            </w:r>
            <w:r w:rsidR="004C55EB">
              <w:rPr>
                <w:rFonts w:ascii="Verdana" w:hAnsi="Verdana"/>
                <w:sz w:val="20"/>
                <w:szCs w:val="20"/>
              </w:rPr>
              <w:t>-</w:t>
            </w:r>
            <w:r>
              <w:rPr>
                <w:rFonts w:ascii="Verdana" w:hAnsi="Verdana"/>
                <w:sz w:val="20"/>
                <w:szCs w:val="20"/>
              </w:rPr>
              <w:t xml:space="preserve"> rate risk under Article 331.</w:t>
            </w:r>
          </w:p>
        </w:tc>
        <w:tc>
          <w:tcPr>
            <w:tcW w:w="3464" w:type="dxa"/>
          </w:tcPr>
          <w:p w:rsidR="00396D39" w:rsidRPr="002A4AA5" w:rsidRDefault="00396D39">
            <w:pPr>
              <w:rPr>
                <w:rFonts w:ascii="Verdana" w:hAnsi="Verdana"/>
                <w:sz w:val="20"/>
                <w:szCs w:val="20"/>
              </w:rPr>
            </w:pPr>
          </w:p>
        </w:tc>
      </w:tr>
      <w:tr w:rsidR="002A4AA5" w:rsidRPr="002A4AA5" w:rsidTr="002A4AA5">
        <w:tc>
          <w:tcPr>
            <w:tcW w:w="5778" w:type="dxa"/>
            <w:gridSpan w:val="2"/>
          </w:tcPr>
          <w:p w:rsidR="002A4AA5" w:rsidRPr="002A4AA5" w:rsidRDefault="002A4AA5">
            <w:pPr>
              <w:rPr>
                <w:rFonts w:ascii="Verdana" w:hAnsi="Verdana"/>
                <w:sz w:val="20"/>
                <w:szCs w:val="20"/>
              </w:rPr>
            </w:pPr>
            <w:r>
              <w:rPr>
                <w:rFonts w:ascii="Verdana" w:hAnsi="Verdana"/>
                <w:sz w:val="20"/>
                <w:szCs w:val="20"/>
              </w:rPr>
              <w:t>Product scope of the requested permission – please indicate the instruments for which net sensitivity positions are used and the currencies in which those positions are denominated.</w:t>
            </w:r>
          </w:p>
        </w:tc>
        <w:tc>
          <w:tcPr>
            <w:tcW w:w="3464" w:type="dxa"/>
          </w:tcPr>
          <w:p w:rsidR="002A4AA5" w:rsidRPr="002A4AA5" w:rsidRDefault="002A4AA5">
            <w:pPr>
              <w:rPr>
                <w:rFonts w:ascii="Verdana" w:hAnsi="Verdana"/>
                <w:sz w:val="20"/>
                <w:szCs w:val="20"/>
              </w:rPr>
            </w:pPr>
          </w:p>
        </w:tc>
      </w:tr>
      <w:tr w:rsidR="002A4AA5" w:rsidRPr="002A4AA5" w:rsidTr="002A4AA5">
        <w:tc>
          <w:tcPr>
            <w:tcW w:w="5778" w:type="dxa"/>
            <w:gridSpan w:val="2"/>
          </w:tcPr>
          <w:p w:rsidR="002A4AA5" w:rsidRPr="002A4AA5" w:rsidRDefault="002A4AA5">
            <w:pPr>
              <w:rPr>
                <w:rFonts w:ascii="Verdana" w:hAnsi="Verdana"/>
                <w:sz w:val="20"/>
                <w:szCs w:val="20"/>
              </w:rPr>
            </w:pPr>
            <w:r>
              <w:rPr>
                <w:rFonts w:ascii="Verdana" w:hAnsi="Verdana"/>
                <w:sz w:val="20"/>
                <w:szCs w:val="20"/>
              </w:rPr>
              <w:t>For the product scope requested, confirm that the interest</w:t>
            </w:r>
            <w:r w:rsidR="004C55EB">
              <w:rPr>
                <w:rFonts w:ascii="Verdana" w:hAnsi="Verdana"/>
                <w:sz w:val="20"/>
                <w:szCs w:val="20"/>
              </w:rPr>
              <w:t>-</w:t>
            </w:r>
            <w:r>
              <w:rPr>
                <w:rFonts w:ascii="Verdana" w:hAnsi="Verdana"/>
                <w:sz w:val="20"/>
                <w:szCs w:val="20"/>
              </w:rPr>
              <w:t xml:space="preserve"> rate risk </w:t>
            </w:r>
            <w:r w:rsidR="00F448EF">
              <w:rPr>
                <w:rFonts w:ascii="Verdana" w:hAnsi="Verdana"/>
                <w:sz w:val="20"/>
                <w:szCs w:val="20"/>
              </w:rPr>
              <w:t xml:space="preserve">is managed on a discounted </w:t>
            </w:r>
            <w:r w:rsidR="004C55EB">
              <w:rPr>
                <w:rFonts w:ascii="Verdana" w:hAnsi="Verdana"/>
                <w:sz w:val="20"/>
                <w:szCs w:val="20"/>
              </w:rPr>
              <w:t>-</w:t>
            </w:r>
            <w:r w:rsidR="00F448EF">
              <w:rPr>
                <w:rFonts w:ascii="Verdana" w:hAnsi="Verdana"/>
                <w:sz w:val="20"/>
                <w:szCs w:val="20"/>
              </w:rPr>
              <w:t xml:space="preserve">cash </w:t>
            </w:r>
            <w:r w:rsidR="004C55EB">
              <w:rPr>
                <w:rFonts w:ascii="Verdana" w:hAnsi="Verdana"/>
                <w:sz w:val="20"/>
                <w:szCs w:val="20"/>
              </w:rPr>
              <w:t>-</w:t>
            </w:r>
            <w:r>
              <w:rPr>
                <w:rFonts w:ascii="Verdana" w:hAnsi="Verdana"/>
                <w:sz w:val="20"/>
                <w:szCs w:val="20"/>
              </w:rPr>
              <w:t>flow basis.</w:t>
            </w:r>
          </w:p>
        </w:tc>
        <w:tc>
          <w:tcPr>
            <w:tcW w:w="3464" w:type="dxa"/>
          </w:tcPr>
          <w:p w:rsidR="002A4AA5" w:rsidRPr="002A4AA5" w:rsidRDefault="002A4AA5">
            <w:pPr>
              <w:rPr>
                <w:rFonts w:ascii="Verdana" w:hAnsi="Verdana"/>
                <w:sz w:val="20"/>
                <w:szCs w:val="20"/>
              </w:rPr>
            </w:pPr>
          </w:p>
        </w:tc>
      </w:tr>
      <w:tr w:rsidR="002A4AA5" w:rsidRPr="002A4AA5" w:rsidTr="002A4AA5">
        <w:tc>
          <w:tcPr>
            <w:tcW w:w="5778" w:type="dxa"/>
            <w:gridSpan w:val="2"/>
          </w:tcPr>
          <w:p w:rsidR="002A4AA5" w:rsidRDefault="001144C3">
            <w:pPr>
              <w:rPr>
                <w:rFonts w:ascii="Verdana" w:hAnsi="Verdana"/>
                <w:sz w:val="20"/>
                <w:szCs w:val="20"/>
              </w:rPr>
            </w:pPr>
            <w:r>
              <w:rPr>
                <w:rFonts w:ascii="Verdana" w:hAnsi="Verdana"/>
                <w:sz w:val="20"/>
                <w:szCs w:val="20"/>
              </w:rPr>
              <w:t>For the product scope requested, briefly indicate any growth plans for the exposures.</w:t>
            </w:r>
          </w:p>
        </w:tc>
        <w:tc>
          <w:tcPr>
            <w:tcW w:w="3464" w:type="dxa"/>
          </w:tcPr>
          <w:p w:rsidR="002A4AA5" w:rsidRPr="002A4AA5" w:rsidRDefault="002A4AA5">
            <w:pPr>
              <w:rPr>
                <w:rFonts w:ascii="Verdana" w:hAnsi="Verdana"/>
                <w:sz w:val="20"/>
                <w:szCs w:val="20"/>
              </w:rPr>
            </w:pPr>
          </w:p>
        </w:tc>
      </w:tr>
      <w:tr w:rsidR="001144C3" w:rsidRPr="002A4AA5" w:rsidTr="002A4AA5">
        <w:tc>
          <w:tcPr>
            <w:tcW w:w="5778" w:type="dxa"/>
            <w:gridSpan w:val="2"/>
          </w:tcPr>
          <w:p w:rsidR="001144C3" w:rsidRDefault="001144C3">
            <w:pPr>
              <w:rPr>
                <w:rFonts w:ascii="Verdana" w:hAnsi="Verdana"/>
                <w:sz w:val="20"/>
                <w:szCs w:val="20"/>
              </w:rPr>
            </w:pPr>
            <w:r>
              <w:rPr>
                <w:rFonts w:ascii="Verdana" w:hAnsi="Verdana"/>
                <w:sz w:val="20"/>
                <w:szCs w:val="20"/>
              </w:rPr>
              <w:t xml:space="preserve">Capital impact of changing the calculation methodology from the existing approach (i.e. </w:t>
            </w:r>
            <w:r w:rsidR="004C55EB">
              <w:rPr>
                <w:rFonts w:ascii="Verdana" w:hAnsi="Verdana"/>
                <w:sz w:val="20"/>
                <w:szCs w:val="20"/>
              </w:rPr>
              <w:t xml:space="preserve">the capital impact of </w:t>
            </w:r>
            <w:r>
              <w:rPr>
                <w:rFonts w:ascii="Verdana" w:hAnsi="Verdana"/>
                <w:sz w:val="20"/>
                <w:szCs w:val="20"/>
              </w:rPr>
              <w:t>applying Article 331) and total capital and market risk capital held at the same date.</w:t>
            </w:r>
          </w:p>
        </w:tc>
        <w:tc>
          <w:tcPr>
            <w:tcW w:w="3464" w:type="dxa"/>
          </w:tcPr>
          <w:p w:rsidR="001144C3" w:rsidRPr="002A4AA5" w:rsidRDefault="001144C3">
            <w:pPr>
              <w:rPr>
                <w:rFonts w:ascii="Verdana" w:hAnsi="Verdana"/>
                <w:sz w:val="20"/>
                <w:szCs w:val="20"/>
              </w:rPr>
            </w:pPr>
          </w:p>
        </w:tc>
      </w:tr>
      <w:tr w:rsidR="001144C3" w:rsidRPr="002A4AA5" w:rsidTr="002A4AA5">
        <w:tc>
          <w:tcPr>
            <w:tcW w:w="5778" w:type="dxa"/>
            <w:gridSpan w:val="2"/>
          </w:tcPr>
          <w:p w:rsidR="001144C3" w:rsidRPr="00D12442" w:rsidRDefault="001144C3" w:rsidP="001144C3">
            <w:pPr>
              <w:rPr>
                <w:rFonts w:ascii="Verdana" w:hAnsi="Verdana"/>
                <w:sz w:val="20"/>
                <w:szCs w:val="20"/>
              </w:rPr>
            </w:pPr>
            <w:r w:rsidRPr="00D12442">
              <w:rPr>
                <w:rFonts w:ascii="Verdana" w:hAnsi="Verdana"/>
                <w:sz w:val="20"/>
                <w:szCs w:val="20"/>
              </w:rPr>
              <w:t xml:space="preserve">Provide worked examples of capital calculation under the current methodology and the new (Article 331) methodology for </w:t>
            </w:r>
            <w:r w:rsidR="0090466E" w:rsidRPr="00D12442">
              <w:rPr>
                <w:rFonts w:ascii="Verdana" w:hAnsi="Verdana"/>
                <w:sz w:val="20"/>
                <w:szCs w:val="20"/>
              </w:rPr>
              <w:t>a test portfolio composed of</w:t>
            </w:r>
            <w:r w:rsidRPr="00D12442">
              <w:rPr>
                <w:rFonts w:ascii="Verdana" w:hAnsi="Verdana"/>
                <w:sz w:val="20"/>
                <w:szCs w:val="20"/>
              </w:rPr>
              <w:t>:</w:t>
            </w:r>
          </w:p>
          <w:p w:rsidR="001144C3" w:rsidRPr="00D12442" w:rsidRDefault="001144C3" w:rsidP="001144C3">
            <w:pPr>
              <w:rPr>
                <w:rFonts w:ascii="Verdana" w:hAnsi="Verdana"/>
                <w:sz w:val="20"/>
                <w:szCs w:val="20"/>
              </w:rPr>
            </w:pPr>
          </w:p>
          <w:p w:rsidR="001144C3" w:rsidRPr="00D12442" w:rsidRDefault="0090466E" w:rsidP="0090466E">
            <w:pPr>
              <w:pStyle w:val="ListParagraph"/>
              <w:numPr>
                <w:ilvl w:val="0"/>
                <w:numId w:val="1"/>
              </w:numPr>
              <w:rPr>
                <w:rFonts w:ascii="Verdana" w:hAnsi="Verdana"/>
                <w:sz w:val="20"/>
                <w:szCs w:val="20"/>
              </w:rPr>
            </w:pPr>
            <w:r w:rsidRPr="00D12442">
              <w:rPr>
                <w:rFonts w:ascii="Verdana" w:hAnsi="Verdana"/>
                <w:sz w:val="20"/>
                <w:szCs w:val="20"/>
              </w:rPr>
              <w:t>Long 100,000 1Y ATM equity index call option</w:t>
            </w:r>
          </w:p>
          <w:p w:rsidR="0090466E" w:rsidRPr="00D12442" w:rsidRDefault="005B5C5D" w:rsidP="0090466E">
            <w:pPr>
              <w:pStyle w:val="ListParagraph"/>
              <w:numPr>
                <w:ilvl w:val="0"/>
                <w:numId w:val="1"/>
              </w:numPr>
              <w:rPr>
                <w:rFonts w:ascii="Verdana" w:hAnsi="Verdana"/>
                <w:sz w:val="20"/>
                <w:szCs w:val="20"/>
              </w:rPr>
            </w:pPr>
            <w:r w:rsidRPr="00D12442">
              <w:rPr>
                <w:rFonts w:ascii="Verdana" w:hAnsi="Verdana"/>
                <w:sz w:val="20"/>
                <w:szCs w:val="20"/>
              </w:rPr>
              <w:t>Short</w:t>
            </w:r>
            <w:r w:rsidR="0090466E" w:rsidRPr="00D12442">
              <w:rPr>
                <w:rFonts w:ascii="Verdana" w:hAnsi="Verdana"/>
                <w:sz w:val="20"/>
                <w:szCs w:val="20"/>
              </w:rPr>
              <w:t xml:space="preserve"> 100,000 1Y ATM equity index put option</w:t>
            </w:r>
          </w:p>
          <w:p w:rsidR="0090466E" w:rsidRPr="00D12442" w:rsidRDefault="005B5C5D" w:rsidP="0090466E">
            <w:pPr>
              <w:pStyle w:val="ListParagraph"/>
              <w:numPr>
                <w:ilvl w:val="0"/>
                <w:numId w:val="1"/>
              </w:numPr>
              <w:rPr>
                <w:rFonts w:ascii="Verdana" w:hAnsi="Verdana"/>
                <w:sz w:val="20"/>
                <w:szCs w:val="20"/>
              </w:rPr>
            </w:pPr>
            <w:r w:rsidRPr="00D12442">
              <w:rPr>
                <w:rFonts w:ascii="Verdana" w:hAnsi="Verdana"/>
                <w:sz w:val="20"/>
                <w:szCs w:val="20"/>
              </w:rPr>
              <w:t>Long</w:t>
            </w:r>
            <w:r w:rsidR="0090466E" w:rsidRPr="00D12442">
              <w:rPr>
                <w:rFonts w:ascii="Verdana" w:hAnsi="Verdana"/>
                <w:sz w:val="20"/>
                <w:szCs w:val="20"/>
              </w:rPr>
              <w:t xml:space="preserve"> 100,000 2Y ATM equity index call option</w:t>
            </w:r>
          </w:p>
          <w:p w:rsidR="0090466E" w:rsidRPr="00D12442" w:rsidRDefault="005B5C5D" w:rsidP="0090466E">
            <w:pPr>
              <w:pStyle w:val="ListParagraph"/>
              <w:numPr>
                <w:ilvl w:val="0"/>
                <w:numId w:val="1"/>
              </w:numPr>
              <w:rPr>
                <w:rFonts w:ascii="Verdana" w:hAnsi="Verdana"/>
                <w:sz w:val="20"/>
                <w:szCs w:val="20"/>
              </w:rPr>
            </w:pPr>
            <w:r w:rsidRPr="00D12442">
              <w:rPr>
                <w:rFonts w:ascii="Verdana" w:hAnsi="Verdana"/>
                <w:sz w:val="20"/>
                <w:szCs w:val="20"/>
              </w:rPr>
              <w:t>Short</w:t>
            </w:r>
            <w:r w:rsidR="0090466E" w:rsidRPr="00D12442">
              <w:rPr>
                <w:rFonts w:ascii="Verdana" w:hAnsi="Verdana"/>
                <w:sz w:val="20"/>
                <w:szCs w:val="20"/>
              </w:rPr>
              <w:t xml:space="preserve"> 100,000 5Y ATM equity index call option</w:t>
            </w:r>
          </w:p>
          <w:p w:rsidR="0090466E" w:rsidRPr="00D12442" w:rsidRDefault="005B5C5D" w:rsidP="0090466E">
            <w:pPr>
              <w:pStyle w:val="ListParagraph"/>
              <w:numPr>
                <w:ilvl w:val="0"/>
                <w:numId w:val="1"/>
              </w:numPr>
              <w:rPr>
                <w:rFonts w:ascii="Verdana" w:hAnsi="Verdana"/>
                <w:sz w:val="20"/>
                <w:szCs w:val="20"/>
              </w:rPr>
            </w:pPr>
            <w:r w:rsidRPr="00D12442">
              <w:rPr>
                <w:rFonts w:ascii="Verdana" w:hAnsi="Verdana"/>
                <w:sz w:val="20"/>
                <w:szCs w:val="20"/>
              </w:rPr>
              <w:t>Short 3M equity index futures in sufficient quantity to hedge the equity delta of the options</w:t>
            </w:r>
          </w:p>
          <w:p w:rsidR="00072D11" w:rsidRPr="00D12442" w:rsidRDefault="00072D11" w:rsidP="00072D11">
            <w:pPr>
              <w:pStyle w:val="ListParagraph"/>
              <w:rPr>
                <w:rFonts w:ascii="Verdana" w:hAnsi="Verdana"/>
                <w:sz w:val="20"/>
                <w:szCs w:val="20"/>
              </w:rPr>
            </w:pPr>
          </w:p>
          <w:p w:rsidR="00072D11" w:rsidRPr="00072D11" w:rsidRDefault="00072D11" w:rsidP="00072D11">
            <w:pPr>
              <w:rPr>
                <w:rFonts w:ascii="Verdana" w:hAnsi="Verdana"/>
                <w:sz w:val="20"/>
                <w:szCs w:val="20"/>
              </w:rPr>
            </w:pPr>
            <w:r w:rsidRPr="00D12442">
              <w:rPr>
                <w:rFonts w:ascii="Verdana" w:hAnsi="Verdana"/>
                <w:sz w:val="20"/>
                <w:szCs w:val="20"/>
              </w:rPr>
              <w:t xml:space="preserve">Assume that the base index level is 100 and that the equity index volatility is 20%.  Please use the interest </w:t>
            </w:r>
            <w:r w:rsidRPr="00D12442">
              <w:rPr>
                <w:rFonts w:ascii="Verdana" w:hAnsi="Verdana"/>
                <w:sz w:val="20"/>
                <w:szCs w:val="20"/>
              </w:rPr>
              <w:lastRenderedPageBreak/>
              <w:t>rate curve included for the purposes of calculating the interest rate exposure. All options are European style exercise.</w:t>
            </w:r>
            <w:r>
              <w:rPr>
                <w:rFonts w:ascii="Verdana" w:hAnsi="Verdana"/>
                <w:sz w:val="20"/>
                <w:szCs w:val="20"/>
              </w:rPr>
              <w:t xml:space="preserve">  </w:t>
            </w:r>
          </w:p>
        </w:tc>
        <w:tc>
          <w:tcPr>
            <w:tcW w:w="3464" w:type="dxa"/>
          </w:tcPr>
          <w:p w:rsidR="001144C3" w:rsidRPr="002A4AA5" w:rsidRDefault="001144C3">
            <w:pPr>
              <w:rPr>
                <w:rFonts w:ascii="Verdana" w:hAnsi="Verdana"/>
                <w:sz w:val="20"/>
                <w:szCs w:val="20"/>
              </w:rPr>
            </w:pPr>
          </w:p>
        </w:tc>
      </w:tr>
    </w:tbl>
    <w:p w:rsidR="00985372" w:rsidRDefault="00985372">
      <w:pPr>
        <w:rPr>
          <w:rFonts w:ascii="Verdana" w:hAnsi="Verdana"/>
          <w:sz w:val="20"/>
          <w:szCs w:val="20"/>
        </w:rPr>
      </w:pPr>
    </w:p>
    <w:p w:rsidR="00396D39" w:rsidRDefault="00396D39">
      <w:pPr>
        <w:rPr>
          <w:rFonts w:ascii="Verdana" w:hAnsi="Verdana"/>
          <w:sz w:val="20"/>
          <w:szCs w:val="20"/>
        </w:rPr>
      </w:pPr>
    </w:p>
    <w:p w:rsidR="00396D39" w:rsidRDefault="00396D39">
      <w:pPr>
        <w:rPr>
          <w:rFonts w:ascii="Verdana" w:hAnsi="Verdana"/>
          <w:sz w:val="20"/>
          <w:szCs w:val="20"/>
        </w:rPr>
      </w:pPr>
    </w:p>
    <w:p w:rsidR="00396D39" w:rsidRDefault="00396D39">
      <w:pPr>
        <w:rPr>
          <w:rFonts w:ascii="Verdana" w:hAnsi="Verdana"/>
          <w:sz w:val="20"/>
          <w:szCs w:val="20"/>
        </w:rPr>
      </w:pPr>
    </w:p>
    <w:tbl>
      <w:tblPr>
        <w:tblStyle w:val="TableGrid"/>
        <w:tblW w:w="0" w:type="auto"/>
        <w:tblLayout w:type="fixed"/>
        <w:tblLook w:val="04A0" w:firstRow="1" w:lastRow="0" w:firstColumn="1" w:lastColumn="0" w:noHBand="0" w:noVBand="1"/>
      </w:tblPr>
      <w:tblGrid>
        <w:gridCol w:w="4503"/>
        <w:gridCol w:w="1417"/>
        <w:gridCol w:w="3322"/>
      </w:tblGrid>
      <w:tr w:rsidR="00396D39" w:rsidRPr="002A4AA5" w:rsidTr="00F448EF">
        <w:tc>
          <w:tcPr>
            <w:tcW w:w="9242" w:type="dxa"/>
            <w:gridSpan w:val="3"/>
          </w:tcPr>
          <w:p w:rsidR="00396D39" w:rsidRDefault="00396D39" w:rsidP="001C7769">
            <w:pPr>
              <w:rPr>
                <w:rFonts w:ascii="Verdana" w:hAnsi="Verdana"/>
                <w:b/>
                <w:sz w:val="20"/>
                <w:szCs w:val="20"/>
              </w:rPr>
            </w:pPr>
            <w:r>
              <w:rPr>
                <w:rFonts w:ascii="Verdana" w:hAnsi="Verdana"/>
                <w:b/>
                <w:sz w:val="20"/>
                <w:szCs w:val="20"/>
              </w:rPr>
              <w:t>CRR Standards</w:t>
            </w:r>
          </w:p>
        </w:tc>
      </w:tr>
      <w:tr w:rsidR="00396D39" w:rsidRPr="002A4AA5" w:rsidTr="00F448EF">
        <w:tc>
          <w:tcPr>
            <w:tcW w:w="4503" w:type="dxa"/>
            <w:vAlign w:val="center"/>
          </w:tcPr>
          <w:p w:rsidR="00396D39" w:rsidRPr="002A4AA5" w:rsidRDefault="00396D39" w:rsidP="00396D39">
            <w:pPr>
              <w:jc w:val="center"/>
              <w:rPr>
                <w:rFonts w:ascii="Verdana" w:hAnsi="Verdana"/>
                <w:b/>
                <w:sz w:val="20"/>
                <w:szCs w:val="20"/>
              </w:rPr>
            </w:pPr>
            <w:r>
              <w:rPr>
                <w:rFonts w:ascii="Verdana" w:hAnsi="Verdana"/>
                <w:b/>
                <w:sz w:val="20"/>
                <w:szCs w:val="20"/>
              </w:rPr>
              <w:t>CRR Standard</w:t>
            </w:r>
          </w:p>
        </w:tc>
        <w:tc>
          <w:tcPr>
            <w:tcW w:w="1417" w:type="dxa"/>
            <w:vAlign w:val="center"/>
          </w:tcPr>
          <w:p w:rsidR="00396D39" w:rsidRPr="002A4AA5" w:rsidRDefault="00396D39" w:rsidP="00396D39">
            <w:pPr>
              <w:jc w:val="center"/>
              <w:rPr>
                <w:rFonts w:ascii="Verdana" w:hAnsi="Verdana"/>
                <w:b/>
                <w:sz w:val="20"/>
                <w:szCs w:val="20"/>
              </w:rPr>
            </w:pPr>
            <w:r>
              <w:rPr>
                <w:rFonts w:ascii="Verdana" w:hAnsi="Verdana"/>
                <w:b/>
                <w:sz w:val="20"/>
                <w:szCs w:val="20"/>
              </w:rPr>
              <w:t>Meets Standard? (Yes/No)</w:t>
            </w:r>
          </w:p>
        </w:tc>
        <w:tc>
          <w:tcPr>
            <w:tcW w:w="3322" w:type="dxa"/>
            <w:vAlign w:val="center"/>
          </w:tcPr>
          <w:p w:rsidR="00396D39" w:rsidRDefault="00396D39" w:rsidP="00396D39">
            <w:pPr>
              <w:jc w:val="center"/>
              <w:rPr>
                <w:rFonts w:ascii="Verdana" w:hAnsi="Verdana"/>
                <w:b/>
                <w:sz w:val="20"/>
                <w:szCs w:val="20"/>
              </w:rPr>
            </w:pPr>
            <w:r>
              <w:rPr>
                <w:rFonts w:ascii="Verdana" w:hAnsi="Verdana"/>
                <w:b/>
                <w:sz w:val="20"/>
                <w:szCs w:val="20"/>
              </w:rPr>
              <w:t>Firm Analysis</w:t>
            </w:r>
          </w:p>
          <w:p w:rsidR="00396D39" w:rsidRPr="00396D39" w:rsidRDefault="00396D39" w:rsidP="00396D39">
            <w:pPr>
              <w:jc w:val="center"/>
              <w:rPr>
                <w:rFonts w:ascii="Verdana" w:hAnsi="Verdana"/>
                <w:i/>
                <w:sz w:val="18"/>
                <w:szCs w:val="18"/>
              </w:rPr>
            </w:pPr>
            <w:r w:rsidRPr="00396D39">
              <w:rPr>
                <w:rFonts w:ascii="Verdana" w:hAnsi="Verdana"/>
                <w:i/>
                <w:sz w:val="18"/>
                <w:szCs w:val="18"/>
              </w:rPr>
              <w:t>Please demonstrate using examples where appropriate how the minimum standards are met</w:t>
            </w:r>
          </w:p>
        </w:tc>
      </w:tr>
      <w:tr w:rsidR="00396D39" w:rsidRPr="002A4AA5" w:rsidTr="00F448EF">
        <w:tc>
          <w:tcPr>
            <w:tcW w:w="4503" w:type="dxa"/>
          </w:tcPr>
          <w:p w:rsidR="00396D39" w:rsidRPr="002A4AA5" w:rsidRDefault="00F448EF" w:rsidP="001C7769">
            <w:pPr>
              <w:rPr>
                <w:rFonts w:ascii="Verdana" w:hAnsi="Verdana"/>
                <w:sz w:val="20"/>
                <w:szCs w:val="20"/>
              </w:rPr>
            </w:pPr>
            <w:r>
              <w:rPr>
                <w:rFonts w:ascii="Verdana" w:hAnsi="Verdana"/>
                <w:sz w:val="20"/>
                <w:szCs w:val="20"/>
              </w:rPr>
              <w:t>Sensitivity models generate positions which have the same sensitivity to interest</w:t>
            </w:r>
            <w:r w:rsidR="004C55EB">
              <w:rPr>
                <w:rFonts w:ascii="Verdana" w:hAnsi="Verdana"/>
                <w:sz w:val="20"/>
                <w:szCs w:val="20"/>
              </w:rPr>
              <w:t>-</w:t>
            </w:r>
            <w:r>
              <w:rPr>
                <w:rFonts w:ascii="Verdana" w:hAnsi="Verdana"/>
                <w:sz w:val="20"/>
                <w:szCs w:val="20"/>
              </w:rPr>
              <w:t xml:space="preserve"> rate changes as the underlying cash flows. </w:t>
            </w:r>
          </w:p>
        </w:tc>
        <w:tc>
          <w:tcPr>
            <w:tcW w:w="1417" w:type="dxa"/>
          </w:tcPr>
          <w:p w:rsidR="00396D39" w:rsidRPr="002A4AA5" w:rsidRDefault="00396D39" w:rsidP="001C7769">
            <w:pPr>
              <w:rPr>
                <w:rFonts w:ascii="Verdana" w:hAnsi="Verdana"/>
                <w:sz w:val="20"/>
                <w:szCs w:val="20"/>
              </w:rPr>
            </w:pPr>
          </w:p>
        </w:tc>
        <w:tc>
          <w:tcPr>
            <w:tcW w:w="3322" w:type="dxa"/>
          </w:tcPr>
          <w:p w:rsidR="00396D39" w:rsidRPr="002A4AA5" w:rsidRDefault="00396D39" w:rsidP="001C7769">
            <w:pPr>
              <w:rPr>
                <w:rFonts w:ascii="Verdana" w:hAnsi="Verdana"/>
                <w:sz w:val="20"/>
                <w:szCs w:val="20"/>
              </w:rPr>
            </w:pPr>
          </w:p>
        </w:tc>
      </w:tr>
      <w:tr w:rsidR="009C04F6" w:rsidRPr="002A4AA5" w:rsidTr="00F448EF">
        <w:tc>
          <w:tcPr>
            <w:tcW w:w="4503" w:type="dxa"/>
          </w:tcPr>
          <w:p w:rsidR="009C04F6" w:rsidRDefault="009C04F6" w:rsidP="001C7769">
            <w:pPr>
              <w:rPr>
                <w:rFonts w:ascii="Verdana" w:hAnsi="Verdana"/>
                <w:sz w:val="20"/>
                <w:szCs w:val="20"/>
              </w:rPr>
            </w:pPr>
            <w:r>
              <w:rPr>
                <w:rFonts w:ascii="Verdana" w:hAnsi="Verdana"/>
                <w:sz w:val="20"/>
                <w:szCs w:val="20"/>
              </w:rPr>
              <w:t>Sensitivities are assessed with reference to independent movements in sample rates across the yield curve, with at least one sensitivity point in each of the maturity bands set out in Table 2 in Article 339.</w:t>
            </w:r>
          </w:p>
        </w:tc>
        <w:tc>
          <w:tcPr>
            <w:tcW w:w="1417" w:type="dxa"/>
          </w:tcPr>
          <w:p w:rsidR="009C04F6" w:rsidRPr="002A4AA5" w:rsidRDefault="009C04F6" w:rsidP="001C7769">
            <w:pPr>
              <w:rPr>
                <w:rFonts w:ascii="Verdana" w:hAnsi="Verdana"/>
                <w:sz w:val="20"/>
                <w:szCs w:val="20"/>
              </w:rPr>
            </w:pPr>
          </w:p>
        </w:tc>
        <w:tc>
          <w:tcPr>
            <w:tcW w:w="3322" w:type="dxa"/>
          </w:tcPr>
          <w:p w:rsidR="009C04F6" w:rsidRPr="002A4AA5" w:rsidRDefault="009C04F6" w:rsidP="001C7769">
            <w:pPr>
              <w:rPr>
                <w:rFonts w:ascii="Verdana" w:hAnsi="Verdana"/>
                <w:sz w:val="20"/>
                <w:szCs w:val="20"/>
              </w:rPr>
            </w:pPr>
          </w:p>
        </w:tc>
      </w:tr>
      <w:tr w:rsidR="00F27D9A" w:rsidRPr="002A4AA5" w:rsidTr="00F448EF">
        <w:tc>
          <w:tcPr>
            <w:tcW w:w="4503" w:type="dxa"/>
          </w:tcPr>
          <w:p w:rsidR="00F27D9A" w:rsidRDefault="00F27D9A" w:rsidP="001C7769">
            <w:pPr>
              <w:rPr>
                <w:rFonts w:ascii="Verdana" w:hAnsi="Verdana"/>
                <w:sz w:val="20"/>
                <w:szCs w:val="20"/>
              </w:rPr>
            </w:pPr>
            <w:r>
              <w:rPr>
                <w:rFonts w:ascii="Verdana" w:hAnsi="Verdana"/>
                <w:sz w:val="20"/>
                <w:szCs w:val="20"/>
              </w:rPr>
              <w:t>Sensitivities are appropriate to produce accurate valuation changes based on the assumed interest rate changes set out in Table 2 of Article 339.</w:t>
            </w:r>
          </w:p>
        </w:tc>
        <w:tc>
          <w:tcPr>
            <w:tcW w:w="1417" w:type="dxa"/>
          </w:tcPr>
          <w:p w:rsidR="00F27D9A" w:rsidRPr="002A4AA5" w:rsidRDefault="00F27D9A" w:rsidP="001C7769">
            <w:pPr>
              <w:rPr>
                <w:rFonts w:ascii="Verdana" w:hAnsi="Verdana"/>
                <w:sz w:val="20"/>
                <w:szCs w:val="20"/>
              </w:rPr>
            </w:pPr>
          </w:p>
        </w:tc>
        <w:tc>
          <w:tcPr>
            <w:tcW w:w="3322" w:type="dxa"/>
          </w:tcPr>
          <w:p w:rsidR="00F27D9A" w:rsidRPr="002A4AA5" w:rsidRDefault="00F27D9A" w:rsidP="001C7769">
            <w:pPr>
              <w:rPr>
                <w:rFonts w:ascii="Verdana" w:hAnsi="Verdana"/>
                <w:sz w:val="20"/>
                <w:szCs w:val="20"/>
              </w:rPr>
            </w:pPr>
          </w:p>
        </w:tc>
      </w:tr>
    </w:tbl>
    <w:p w:rsidR="00396D39" w:rsidRPr="002A4AA5" w:rsidRDefault="00396D39">
      <w:pPr>
        <w:rPr>
          <w:rFonts w:ascii="Verdana" w:hAnsi="Verdana"/>
          <w:sz w:val="20"/>
          <w:szCs w:val="20"/>
        </w:rPr>
      </w:pPr>
    </w:p>
    <w:sectPr w:rsidR="00396D39" w:rsidRPr="002A4AA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70A" w:rsidRDefault="005D270A" w:rsidP="00681C7B">
      <w:pPr>
        <w:spacing w:after="0" w:line="240" w:lineRule="auto"/>
      </w:pPr>
      <w:r>
        <w:separator/>
      </w:r>
    </w:p>
  </w:endnote>
  <w:endnote w:type="continuationSeparator" w:id="0">
    <w:p w:rsidR="005D270A" w:rsidRDefault="005D270A" w:rsidP="0068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7B" w:rsidRDefault="00681C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7B" w:rsidRDefault="00681C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7B" w:rsidRDefault="00681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70A" w:rsidRDefault="005D270A" w:rsidP="00681C7B">
      <w:pPr>
        <w:spacing w:after="0" w:line="240" w:lineRule="auto"/>
      </w:pPr>
      <w:r>
        <w:separator/>
      </w:r>
    </w:p>
  </w:footnote>
  <w:footnote w:type="continuationSeparator" w:id="0">
    <w:p w:rsidR="005D270A" w:rsidRDefault="005D270A" w:rsidP="00681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7B" w:rsidRDefault="00681C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7B" w:rsidRDefault="00681C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7B" w:rsidRDefault="00681C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A7FC1"/>
    <w:multiLevelType w:val="hybridMultilevel"/>
    <w:tmpl w:val="C8F4F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3E"/>
    <w:rsid w:val="00043EC0"/>
    <w:rsid w:val="00072097"/>
    <w:rsid w:val="00072D11"/>
    <w:rsid w:val="001144C3"/>
    <w:rsid w:val="0024173B"/>
    <w:rsid w:val="002A4AA5"/>
    <w:rsid w:val="00396D39"/>
    <w:rsid w:val="004C55EB"/>
    <w:rsid w:val="005B5C5D"/>
    <w:rsid w:val="005D270A"/>
    <w:rsid w:val="005E1AF7"/>
    <w:rsid w:val="0063144B"/>
    <w:rsid w:val="00681C7B"/>
    <w:rsid w:val="0074403E"/>
    <w:rsid w:val="007B4439"/>
    <w:rsid w:val="007D0D48"/>
    <w:rsid w:val="008766FC"/>
    <w:rsid w:val="0090466E"/>
    <w:rsid w:val="00985372"/>
    <w:rsid w:val="009B23AE"/>
    <w:rsid w:val="009C04F6"/>
    <w:rsid w:val="00C26860"/>
    <w:rsid w:val="00D12442"/>
    <w:rsid w:val="00E07E7C"/>
    <w:rsid w:val="00F27D9A"/>
    <w:rsid w:val="00F448EF"/>
    <w:rsid w:val="00FE1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5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466E"/>
    <w:pPr>
      <w:ind w:left="720"/>
      <w:contextualSpacing/>
    </w:pPr>
  </w:style>
  <w:style w:type="character" w:styleId="CommentReference">
    <w:name w:val="annotation reference"/>
    <w:basedOn w:val="DefaultParagraphFont"/>
    <w:uiPriority w:val="99"/>
    <w:semiHidden/>
    <w:unhideWhenUsed/>
    <w:rsid w:val="004C55EB"/>
    <w:rPr>
      <w:sz w:val="16"/>
      <w:szCs w:val="16"/>
    </w:rPr>
  </w:style>
  <w:style w:type="paragraph" w:styleId="CommentText">
    <w:name w:val="annotation text"/>
    <w:basedOn w:val="Normal"/>
    <w:link w:val="CommentTextChar"/>
    <w:uiPriority w:val="99"/>
    <w:semiHidden/>
    <w:unhideWhenUsed/>
    <w:rsid w:val="004C55EB"/>
    <w:pPr>
      <w:spacing w:line="240" w:lineRule="auto"/>
    </w:pPr>
    <w:rPr>
      <w:sz w:val="20"/>
      <w:szCs w:val="20"/>
    </w:rPr>
  </w:style>
  <w:style w:type="character" w:customStyle="1" w:styleId="CommentTextChar">
    <w:name w:val="Comment Text Char"/>
    <w:basedOn w:val="DefaultParagraphFont"/>
    <w:link w:val="CommentText"/>
    <w:uiPriority w:val="99"/>
    <w:semiHidden/>
    <w:rsid w:val="004C55EB"/>
    <w:rPr>
      <w:sz w:val="20"/>
      <w:szCs w:val="20"/>
    </w:rPr>
  </w:style>
  <w:style w:type="paragraph" w:styleId="CommentSubject">
    <w:name w:val="annotation subject"/>
    <w:basedOn w:val="CommentText"/>
    <w:next w:val="CommentText"/>
    <w:link w:val="CommentSubjectChar"/>
    <w:uiPriority w:val="99"/>
    <w:semiHidden/>
    <w:unhideWhenUsed/>
    <w:rsid w:val="004C55EB"/>
    <w:rPr>
      <w:b/>
      <w:bCs/>
    </w:rPr>
  </w:style>
  <w:style w:type="character" w:customStyle="1" w:styleId="CommentSubjectChar">
    <w:name w:val="Comment Subject Char"/>
    <w:basedOn w:val="CommentTextChar"/>
    <w:link w:val="CommentSubject"/>
    <w:uiPriority w:val="99"/>
    <w:semiHidden/>
    <w:rsid w:val="004C55EB"/>
    <w:rPr>
      <w:b/>
      <w:bCs/>
      <w:sz w:val="20"/>
      <w:szCs w:val="20"/>
    </w:rPr>
  </w:style>
  <w:style w:type="paragraph" w:styleId="BalloonText">
    <w:name w:val="Balloon Text"/>
    <w:basedOn w:val="Normal"/>
    <w:link w:val="BalloonTextChar"/>
    <w:uiPriority w:val="99"/>
    <w:semiHidden/>
    <w:unhideWhenUsed/>
    <w:rsid w:val="004C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5EB"/>
    <w:rPr>
      <w:rFonts w:ascii="Tahoma" w:hAnsi="Tahoma" w:cs="Tahoma"/>
      <w:sz w:val="16"/>
      <w:szCs w:val="16"/>
    </w:rPr>
  </w:style>
  <w:style w:type="paragraph" w:styleId="Header">
    <w:name w:val="header"/>
    <w:basedOn w:val="Normal"/>
    <w:link w:val="HeaderChar"/>
    <w:uiPriority w:val="99"/>
    <w:unhideWhenUsed/>
    <w:rsid w:val="00681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C7B"/>
  </w:style>
  <w:style w:type="paragraph" w:styleId="Footer">
    <w:name w:val="footer"/>
    <w:basedOn w:val="Normal"/>
    <w:link w:val="FooterChar"/>
    <w:uiPriority w:val="99"/>
    <w:unhideWhenUsed/>
    <w:rsid w:val="00681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C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5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466E"/>
    <w:pPr>
      <w:ind w:left="720"/>
      <w:contextualSpacing/>
    </w:pPr>
  </w:style>
  <w:style w:type="character" w:styleId="CommentReference">
    <w:name w:val="annotation reference"/>
    <w:basedOn w:val="DefaultParagraphFont"/>
    <w:uiPriority w:val="99"/>
    <w:semiHidden/>
    <w:unhideWhenUsed/>
    <w:rsid w:val="004C55EB"/>
    <w:rPr>
      <w:sz w:val="16"/>
      <w:szCs w:val="16"/>
    </w:rPr>
  </w:style>
  <w:style w:type="paragraph" w:styleId="CommentText">
    <w:name w:val="annotation text"/>
    <w:basedOn w:val="Normal"/>
    <w:link w:val="CommentTextChar"/>
    <w:uiPriority w:val="99"/>
    <w:semiHidden/>
    <w:unhideWhenUsed/>
    <w:rsid w:val="004C55EB"/>
    <w:pPr>
      <w:spacing w:line="240" w:lineRule="auto"/>
    </w:pPr>
    <w:rPr>
      <w:sz w:val="20"/>
      <w:szCs w:val="20"/>
    </w:rPr>
  </w:style>
  <w:style w:type="character" w:customStyle="1" w:styleId="CommentTextChar">
    <w:name w:val="Comment Text Char"/>
    <w:basedOn w:val="DefaultParagraphFont"/>
    <w:link w:val="CommentText"/>
    <w:uiPriority w:val="99"/>
    <w:semiHidden/>
    <w:rsid w:val="004C55EB"/>
    <w:rPr>
      <w:sz w:val="20"/>
      <w:szCs w:val="20"/>
    </w:rPr>
  </w:style>
  <w:style w:type="paragraph" w:styleId="CommentSubject">
    <w:name w:val="annotation subject"/>
    <w:basedOn w:val="CommentText"/>
    <w:next w:val="CommentText"/>
    <w:link w:val="CommentSubjectChar"/>
    <w:uiPriority w:val="99"/>
    <w:semiHidden/>
    <w:unhideWhenUsed/>
    <w:rsid w:val="004C55EB"/>
    <w:rPr>
      <w:b/>
      <w:bCs/>
    </w:rPr>
  </w:style>
  <w:style w:type="character" w:customStyle="1" w:styleId="CommentSubjectChar">
    <w:name w:val="Comment Subject Char"/>
    <w:basedOn w:val="CommentTextChar"/>
    <w:link w:val="CommentSubject"/>
    <w:uiPriority w:val="99"/>
    <w:semiHidden/>
    <w:rsid w:val="004C55EB"/>
    <w:rPr>
      <w:b/>
      <w:bCs/>
      <w:sz w:val="20"/>
      <w:szCs w:val="20"/>
    </w:rPr>
  </w:style>
  <w:style w:type="paragraph" w:styleId="BalloonText">
    <w:name w:val="Balloon Text"/>
    <w:basedOn w:val="Normal"/>
    <w:link w:val="BalloonTextChar"/>
    <w:uiPriority w:val="99"/>
    <w:semiHidden/>
    <w:unhideWhenUsed/>
    <w:rsid w:val="004C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5EB"/>
    <w:rPr>
      <w:rFonts w:ascii="Tahoma" w:hAnsi="Tahoma" w:cs="Tahoma"/>
      <w:sz w:val="16"/>
      <w:szCs w:val="16"/>
    </w:rPr>
  </w:style>
  <w:style w:type="paragraph" w:styleId="Header">
    <w:name w:val="header"/>
    <w:basedOn w:val="Normal"/>
    <w:link w:val="HeaderChar"/>
    <w:uiPriority w:val="99"/>
    <w:unhideWhenUsed/>
    <w:rsid w:val="00681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C7B"/>
  </w:style>
  <w:style w:type="paragraph" w:styleId="Footer">
    <w:name w:val="footer"/>
    <w:basedOn w:val="Normal"/>
    <w:link w:val="FooterChar"/>
    <w:uiPriority w:val="99"/>
    <w:unhideWhenUsed/>
    <w:rsid w:val="00681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2309</Characters>
  <Application>Microsoft Office Word</Application>
  <DocSecurity>0</DocSecurity>
  <Lines>19</Lines>
  <Paragraphs>5</Paragraphs>
  <ScaleCrop>false</ScaleCrop>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2015-07-10T10:45:00Z</dcterms:created>
  <dcterms:modified xsi:type="dcterms:W3CDTF">2015-07-10T10:45:00Z</dcterms:modified>
</cp:coreProperties>
</file>